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eastAsia" w:ascii="方正小标宋简体" w:hAnsi="方正小标宋简体" w:eastAsia="方正小标宋简体" w:cs="方正小标宋简体"/>
          <w:b/>
          <w:color w:val="auto"/>
          <w:kern w:val="0"/>
          <w:sz w:val="44"/>
          <w:szCs w:val="44"/>
          <w:highlight w:val="none"/>
        </w:rPr>
      </w:pPr>
    </w:p>
    <w:p>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rPr>
        <w:t>伊州财行[2024]16号2024年中央食品药品监管补助资金项目支出绩效评价报告</w:t>
      </w: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6"/>
          <w:szCs w:val="36"/>
          <w:highlight w:val="none"/>
        </w:rPr>
        <w:t>（202</w:t>
      </w:r>
      <w:r>
        <w:rPr>
          <w:rFonts w:hint="default" w:ascii="Times New Roman" w:hAnsi="Times New Roman" w:eastAsia="仿宋_GB2312" w:cs="Times New Roman"/>
          <w:color w:val="auto"/>
          <w:kern w:val="0"/>
          <w:sz w:val="36"/>
          <w:szCs w:val="36"/>
          <w:highlight w:val="none"/>
          <w:lang w:val="en-US" w:eastAsia="zh-CN"/>
        </w:rPr>
        <w:t>4</w:t>
      </w:r>
      <w:r>
        <w:rPr>
          <w:rFonts w:hint="default" w:ascii="Times New Roman" w:hAnsi="Times New Roman" w:eastAsia="仿宋_GB2312" w:cs="Times New Roman"/>
          <w:color w:val="auto"/>
          <w:kern w:val="0"/>
          <w:sz w:val="36"/>
          <w:szCs w:val="36"/>
          <w:highlight w:val="none"/>
        </w:rPr>
        <w:t>年度）</w:t>
      </w: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pStyle w:val="10"/>
        <w:rPr>
          <w:rFonts w:hint="default" w:ascii="Times New Roman" w:hAnsi="Times New Roman" w:cs="Times New Roman"/>
          <w:color w:val="auto"/>
          <w:highlight w:val="none"/>
        </w:rPr>
      </w:pP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rPr>
          <w:rFonts w:hint="default" w:ascii="Times New Roman" w:hAnsi="Times New Roman" w:eastAsia="仿宋_GB2312" w:cs="Times New Roman"/>
          <w:color w:val="auto"/>
          <w:kern w:val="0"/>
          <w:sz w:val="30"/>
          <w:szCs w:val="30"/>
          <w:highlight w:val="none"/>
        </w:rPr>
      </w:pPr>
    </w:p>
    <w:p>
      <w:pPr>
        <w:spacing w:line="700" w:lineRule="exact"/>
        <w:ind w:left="2238" w:leftChars="304" w:hanging="1600" w:hangingChars="5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项目名称：伊州财行[2024]16号2024年中央食品药品监管补助资金</w:t>
      </w:r>
    </w:p>
    <w:p>
      <w:pPr>
        <w:spacing w:line="700" w:lineRule="exact"/>
        <w:ind w:firstLine="640" w:firstLineChars="200"/>
        <w:jc w:val="left"/>
        <w:rPr>
          <w:rFonts w:hint="eastAsia"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实施单位（公章）：</w:t>
      </w:r>
      <w:r>
        <w:rPr>
          <w:rFonts w:hint="eastAsia" w:eastAsia="仿宋_GB2312" w:cs="Times New Roman"/>
          <w:color w:val="auto"/>
          <w:kern w:val="0"/>
          <w:sz w:val="32"/>
          <w:szCs w:val="32"/>
          <w:highlight w:val="none"/>
          <w:lang w:val="en-US" w:eastAsia="zh-CN"/>
        </w:rPr>
        <w:t>特克斯县市场监督管理局</w:t>
      </w:r>
    </w:p>
    <w:p>
      <w:pPr>
        <w:spacing w:line="700" w:lineRule="exact"/>
        <w:ind w:firstLine="640" w:firstLineChars="2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主管部门（公章）：特克斯县市场监督管理局</w:t>
      </w:r>
    </w:p>
    <w:p>
      <w:pPr>
        <w:spacing w:line="700" w:lineRule="exact"/>
        <w:ind w:firstLine="640" w:firstLineChars="200"/>
        <w:jc w:val="left"/>
        <w:rPr>
          <w:rFonts w:hint="eastAsia"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项目负责人（签章）：</w:t>
      </w:r>
      <w:r>
        <w:rPr>
          <w:rFonts w:hint="eastAsia" w:eastAsia="仿宋_GB2312" w:cs="Times New Roman"/>
          <w:color w:val="auto"/>
          <w:kern w:val="0"/>
          <w:sz w:val="32"/>
          <w:szCs w:val="32"/>
          <w:highlight w:val="none"/>
          <w:lang w:val="en-US" w:eastAsia="zh-CN"/>
        </w:rPr>
        <w:t>丁鹏</w:t>
      </w:r>
    </w:p>
    <w:p>
      <w:pPr>
        <w:spacing w:line="700" w:lineRule="exact"/>
        <w:ind w:firstLine="640" w:firstLineChars="200"/>
        <w:jc w:val="left"/>
        <w:rPr>
          <w:rFonts w:hint="default" w:ascii="Times New Roman" w:hAnsi="Times New Roman" w:eastAsia="仿宋_GB2312" w:cs="Times New Roman"/>
          <w:color w:val="auto"/>
          <w:kern w:val="0"/>
          <w:sz w:val="36"/>
          <w:szCs w:val="36"/>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19</w:t>
      </w:r>
      <w:r>
        <w:rPr>
          <w:rFonts w:hint="default" w:ascii="Times New Roman" w:hAnsi="Times New Roman" w:eastAsia="仿宋_GB2312" w:cs="Times New Roman"/>
          <w:color w:val="auto"/>
          <w:kern w:val="0"/>
          <w:sz w:val="32"/>
          <w:szCs w:val="32"/>
          <w:highlight w:val="none"/>
        </w:rPr>
        <w:t>日</w:t>
      </w:r>
    </w:p>
    <w:p>
      <w:pPr>
        <w:spacing w:line="540" w:lineRule="exact"/>
        <w:rPr>
          <w:rStyle w:val="16"/>
          <w:rFonts w:hint="default" w:ascii="Times New Roman" w:hAnsi="Times New Roman" w:eastAsia="黑体" w:cs="Times New Roman"/>
          <w:b w:val="0"/>
          <w:color w:val="auto"/>
          <w:spacing w:val="-4"/>
          <w:sz w:val="32"/>
          <w:szCs w:val="32"/>
          <w:highlight w:val="none"/>
        </w:rPr>
      </w:pPr>
    </w:p>
    <w:p>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pPr>
        <w:spacing w:line="560" w:lineRule="exact"/>
        <w:ind w:firstLine="624" w:firstLineChars="200"/>
        <w:rPr>
          <w:rStyle w:val="16"/>
          <w:rFonts w:hint="default" w:ascii="Times New Roman" w:hAnsi="Times New Roman" w:eastAsia="黑体" w:cs="Times New Roman"/>
          <w:b w:val="0"/>
          <w:bCs/>
          <w:color w:val="auto"/>
          <w:spacing w:val="-4"/>
          <w:sz w:val="32"/>
          <w:szCs w:val="32"/>
          <w:highlight w:val="none"/>
          <w:lang w:eastAsia="zh-CN"/>
        </w:rPr>
      </w:pPr>
      <w:r>
        <w:rPr>
          <w:rStyle w:val="16"/>
          <w:rFonts w:hint="eastAsia" w:ascii="仿宋_GB2312" w:hAnsi="仿宋_GB2312" w:eastAsia="仿宋_GB2312" w:cs="仿宋_GB2312"/>
          <w:b w:val="0"/>
          <w:bCs/>
          <w:color w:val="auto"/>
          <w:spacing w:val="-4"/>
          <w:sz w:val="32"/>
          <w:szCs w:val="32"/>
          <w:highlight w:val="none"/>
          <w:lang w:eastAsia="zh-CN"/>
        </w:rPr>
        <w:t>为满足人民群众美好生活对安全健康药品的需要为目标，以药品安全为抓手，以发现药品安全风险隐患为导向，推动药品生产经营者落实药品安全主体责任，促进药品产业健康有序发展。根据自治区药监局贯彻落实《2024年国家药品安全考核计分办法》工作任务清单安排，结合本县实际，制定 2024年度食品药品监管补助资金工作项目方案。</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pPr>
        <w:spacing w:line="560" w:lineRule="exact"/>
        <w:ind w:firstLine="640" w:firstLineChars="200"/>
        <w:rPr>
          <w:rFonts w:hint="default" w:ascii="Times New Roman" w:hAnsi="Times New Roman" w:eastAsia="黑体" w:cs="Times New Roman"/>
          <w:color w:val="auto"/>
          <w:highlight w:val="none"/>
          <w:lang w:eastAsia="zh-CN"/>
        </w:rPr>
      </w:pPr>
      <w:r>
        <w:rPr>
          <w:rFonts w:hint="eastAsia" w:ascii="仿宋_GB2312" w:hAnsi="仿宋_GB2312" w:eastAsia="仿宋_GB2312" w:cs="仿宋_GB2312"/>
          <w:color w:val="auto"/>
          <w:sz w:val="32"/>
          <w:szCs w:val="32"/>
          <w:highlight w:val="none"/>
          <w:lang w:val="en-US" w:eastAsia="zh-CN"/>
        </w:rPr>
        <w:t>项目主要内容：负责药品监管和各项业务开展及负责购买执法装备等事宜，监督检查新开办、变更药品生产经营企业数29家；药品、医疗器械、化妆品生产企业检查覆盖率达到90%以上；“两品一械”培训人员覆盖率达到90%以上；培训成本在200元/人/天；提高“两品一械”总体安全水平，提高人民群众“两品一械”安全科普知识水平；提高队伍素质和装备配置水平，积极开展“两品一械”生产经营企业日常监督检查，全力保障公众用药用械用妆安全，加强培训，提高监管人员专业水平和综合素质，加大药品、医疗器械、化妆品抽样检验力度，化解排查药品安全风险隐患，共计支付22050元</w:t>
      </w:r>
      <w:r>
        <w:rPr>
          <w:rStyle w:val="16"/>
          <w:rFonts w:hint="eastAsia" w:ascii="仿宋_GB2312" w:hAnsi="仿宋_GB2312" w:eastAsia="仿宋_GB2312" w:cs="仿宋_GB2312"/>
          <w:b w:val="0"/>
          <w:bCs/>
          <w:color w:val="auto"/>
          <w:spacing w:val="-4"/>
          <w:sz w:val="32"/>
          <w:szCs w:val="32"/>
          <w:highlight w:val="none"/>
          <w:lang w:eastAsia="zh-CN"/>
        </w:rPr>
        <w:t>。</w:t>
      </w:r>
    </w:p>
    <w:p>
      <w:pPr>
        <w:spacing w:line="560" w:lineRule="exact"/>
        <w:ind w:firstLine="640" w:firstLineChars="200"/>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项目实施情况：今年以来，加强全县市场监管，加强对食品、药品医疗器械监管，监督检查新开办、变更药品生产经营企业数57家；药品、化妆品、医疗器械监管对象培训人数120人；药品、医疗器械、化妆品生产企业检查覆盖率达到100%；“两品一械”培训人员覆盖率达到95%；培训成本在200元/人/天；通过项目实施提高全县“两品一械”总体安全水平，提高人民群众“两品一械”安全科普知识水平</w:t>
      </w:r>
      <w:r>
        <w:rPr>
          <w:rStyle w:val="16"/>
          <w:rFonts w:hint="default" w:ascii="Times New Roman" w:hAnsi="Times New Roman" w:eastAsia="黑体" w:cs="Times New Roman"/>
          <w:b w:val="0"/>
          <w:bCs/>
          <w:color w:val="auto"/>
          <w:spacing w:val="-4"/>
          <w:sz w:val="32"/>
          <w:szCs w:val="32"/>
          <w:highlight w:val="none"/>
          <w:lang w:eastAsia="zh-CN"/>
        </w:rPr>
        <w:t>。</w:t>
      </w:r>
    </w:p>
    <w:p>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w:t>
      </w:r>
      <w:r>
        <w:rPr>
          <w:rFonts w:hint="default" w:ascii="Times New Roman" w:hAnsi="Times New Roman" w:eastAsia="仿宋_GB2312" w:cs="Times New Roman"/>
          <w:color w:val="auto"/>
          <w:sz w:val="32"/>
          <w:szCs w:val="32"/>
          <w:highlight w:val="none"/>
        </w:rPr>
        <w:t>对食品、药品</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医疗器械监管</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组织培训、宣传</w:t>
      </w:r>
      <w:r>
        <w:rPr>
          <w:rFonts w:hint="default" w:ascii="Times New Roman" w:hAnsi="Times New Roman" w:eastAsia="仿宋_GB2312" w:cs="Times New Roman"/>
          <w:color w:val="auto"/>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r>
        <w:rPr>
          <w:rFonts w:hint="default" w:ascii="Times New Roman" w:hAnsi="Times New Roman" w:eastAsia="仿宋_GB2312" w:cs="Times New Roman"/>
          <w:color w:val="auto"/>
          <w:sz w:val="30"/>
          <w:szCs w:val="30"/>
          <w:highlight w:val="none"/>
          <w:lang w:val="en-US" w:eastAsia="zh-CN"/>
        </w:rPr>
        <w:t>（与目标表中年度预期总体目标一致）</w:t>
      </w:r>
    </w:p>
    <w:p>
      <w:pPr>
        <w:spacing w:line="560" w:lineRule="exact"/>
        <w:ind w:firstLine="640" w:firstLineChars="200"/>
        <w:rPr>
          <w:rFonts w:hint="default" w:ascii="Times New Roman" w:hAnsi="Times New Roman" w:eastAsia="黑体" w:cs="Times New Roman"/>
          <w:b w:val="0"/>
          <w:bCs/>
          <w:color w:val="auto"/>
          <w:highlight w:val="none"/>
          <w:lang w:eastAsia="zh-CN"/>
        </w:rPr>
      </w:pPr>
      <w:r>
        <w:rPr>
          <w:rFonts w:hint="eastAsia" w:ascii="Times New Roman" w:hAnsi="Times New Roman" w:eastAsia="仿宋_GB2312" w:cs="Times New Roman"/>
          <w:color w:val="auto"/>
          <w:sz w:val="32"/>
          <w:szCs w:val="32"/>
          <w:highlight w:val="none"/>
          <w:lang w:val="en-US" w:eastAsia="zh-CN"/>
        </w:rPr>
        <w:t>积极开展“两品一械”生产经营企业日常监督检查，全力保障公众用药用械用妆安全；加强培训，提高监管人员专业水平和综合素质。</w:t>
      </w:r>
    </w:p>
    <w:p>
      <w:pPr>
        <w:numPr>
          <w:ilvl w:val="0"/>
          <w:numId w:val="1"/>
        </w:num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阶段性目标</w:t>
      </w:r>
    </w:p>
    <w:p>
      <w:pPr>
        <w:numPr>
          <w:ilvl w:val="0"/>
          <w:numId w:val="0"/>
        </w:numPr>
        <w:spacing w:line="560" w:lineRule="exact"/>
        <w:ind w:firstLine="640" w:firstLineChars="200"/>
        <w:rPr>
          <w:rFonts w:hint="eastAsia" w:ascii="Times New Roman" w:hAnsi="Times New Roman" w:eastAsia="仿宋_GB2312" w:cs="Times New Roman"/>
          <w:color w:val="auto"/>
          <w:sz w:val="30"/>
          <w:szCs w:val="30"/>
          <w:highlight w:val="none"/>
          <w:lang w:val="en-US" w:eastAsia="zh-CN"/>
        </w:rPr>
      </w:pPr>
      <w:r>
        <w:rPr>
          <w:rFonts w:hint="eastAsia" w:eastAsia="仿宋_GB2312" w:cs="Times New Roman"/>
          <w:color w:val="auto"/>
          <w:sz w:val="32"/>
          <w:szCs w:val="32"/>
          <w:highlight w:val="none"/>
          <w:lang w:val="en-US" w:eastAsia="zh-CN"/>
        </w:rPr>
        <w:t>上半年</w:t>
      </w:r>
      <w:r>
        <w:rPr>
          <w:rFonts w:hint="default" w:ascii="Times New Roman" w:hAnsi="Times New Roman" w:eastAsia="仿宋_GB2312" w:cs="Times New Roman"/>
          <w:color w:val="auto"/>
          <w:sz w:val="32"/>
          <w:szCs w:val="32"/>
          <w:highlight w:val="none"/>
        </w:rPr>
        <w:t>，我单位</w:t>
      </w:r>
      <w:r>
        <w:rPr>
          <w:rFonts w:hint="eastAsia" w:eastAsia="仿宋_GB2312" w:cs="Times New Roman"/>
          <w:color w:val="auto"/>
          <w:sz w:val="32"/>
          <w:szCs w:val="32"/>
          <w:highlight w:val="none"/>
          <w:lang w:val="en-US" w:eastAsia="zh-CN"/>
        </w:rPr>
        <w:t>对</w:t>
      </w:r>
      <w:r>
        <w:rPr>
          <w:rFonts w:hint="default" w:ascii="Times New Roman" w:hAnsi="Times New Roman" w:eastAsia="仿宋_GB2312" w:cs="Times New Roman"/>
          <w:color w:val="auto"/>
          <w:sz w:val="32"/>
          <w:szCs w:val="32"/>
          <w:highlight w:val="none"/>
        </w:rPr>
        <w:t>全县食品、药品</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医疗器械监管，监督检查新开办、变更药品生产经营企业数</w:t>
      </w:r>
      <w:r>
        <w:rPr>
          <w:rFonts w:hint="eastAsia" w:eastAsia="仿宋_GB2312" w:cs="Times New Roman"/>
          <w:color w:val="auto"/>
          <w:sz w:val="32"/>
          <w:szCs w:val="32"/>
          <w:highlight w:val="none"/>
          <w:lang w:val="en-US" w:eastAsia="zh-CN"/>
        </w:rPr>
        <w:t>27</w:t>
      </w:r>
      <w:r>
        <w:rPr>
          <w:rFonts w:hint="default" w:ascii="Times New Roman" w:hAnsi="Times New Roman" w:eastAsia="仿宋_GB2312" w:cs="Times New Roman"/>
          <w:color w:val="auto"/>
          <w:sz w:val="32"/>
          <w:szCs w:val="32"/>
          <w:highlight w:val="none"/>
        </w:rPr>
        <w:t>家；药品、化妆品、医疗器械监管对象培训人数</w:t>
      </w:r>
      <w:r>
        <w:rPr>
          <w:rFonts w:hint="eastAsia" w:eastAsia="仿宋_GB2312" w:cs="Times New Roman"/>
          <w:color w:val="auto"/>
          <w:sz w:val="32"/>
          <w:szCs w:val="32"/>
          <w:highlight w:val="none"/>
          <w:lang w:val="en-US" w:eastAsia="zh-CN"/>
        </w:rPr>
        <w:t>55</w:t>
      </w:r>
      <w:r>
        <w:rPr>
          <w:rFonts w:hint="default" w:ascii="Times New Roman" w:hAnsi="Times New Roman" w:eastAsia="仿宋_GB2312" w:cs="Times New Roman"/>
          <w:color w:val="auto"/>
          <w:sz w:val="32"/>
          <w:szCs w:val="32"/>
          <w:highlight w:val="none"/>
        </w:rPr>
        <w:t>人；药品、医疗器械、化妆品生产企业检查覆盖率达到</w:t>
      </w:r>
      <w:r>
        <w:rPr>
          <w:rFonts w:hint="eastAsia" w:eastAsia="仿宋_GB2312" w:cs="Times New Roman"/>
          <w:color w:val="auto"/>
          <w:sz w:val="32"/>
          <w:szCs w:val="32"/>
          <w:highlight w:val="none"/>
          <w:lang w:val="en-US" w:eastAsia="zh-CN"/>
        </w:rPr>
        <w:t>50</w:t>
      </w:r>
      <w:r>
        <w:rPr>
          <w:rFonts w:hint="default" w:ascii="Times New Roman" w:hAnsi="Times New Roman" w:eastAsia="仿宋_GB2312" w:cs="Times New Roman"/>
          <w:color w:val="auto"/>
          <w:sz w:val="32"/>
          <w:szCs w:val="32"/>
          <w:highlight w:val="none"/>
        </w:rPr>
        <w:t>%；“两品一械”培训人员覆盖率达到</w:t>
      </w:r>
      <w:r>
        <w:rPr>
          <w:rFonts w:hint="eastAsia" w:eastAsia="仿宋_GB2312" w:cs="Times New Roman"/>
          <w:color w:val="auto"/>
          <w:sz w:val="32"/>
          <w:szCs w:val="32"/>
          <w:highlight w:val="none"/>
          <w:lang w:val="en-US" w:eastAsia="zh-CN"/>
        </w:rPr>
        <w:t>50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下半年我单位</w:t>
      </w:r>
      <w:r>
        <w:rPr>
          <w:rFonts w:hint="default" w:ascii="Times New Roman" w:hAnsi="Times New Roman" w:eastAsia="仿宋_GB2312" w:cs="Times New Roman"/>
          <w:color w:val="auto"/>
          <w:sz w:val="32"/>
          <w:szCs w:val="32"/>
          <w:highlight w:val="none"/>
        </w:rPr>
        <w:t>监督检查新开办、变更药品生产经营企业数</w:t>
      </w:r>
      <w:r>
        <w:rPr>
          <w:rFonts w:hint="eastAsia" w:eastAsia="仿宋_GB2312" w:cs="Times New Roman"/>
          <w:color w:val="auto"/>
          <w:sz w:val="32"/>
          <w:szCs w:val="32"/>
          <w:highlight w:val="none"/>
          <w:lang w:val="en-US" w:eastAsia="zh-CN"/>
        </w:rPr>
        <w:t>30</w:t>
      </w:r>
      <w:r>
        <w:rPr>
          <w:rFonts w:hint="default" w:ascii="Times New Roman" w:hAnsi="Times New Roman" w:eastAsia="仿宋_GB2312" w:cs="Times New Roman"/>
          <w:color w:val="auto"/>
          <w:sz w:val="32"/>
          <w:szCs w:val="32"/>
          <w:highlight w:val="none"/>
        </w:rPr>
        <w:t>家；药品、化妆品、医疗器械监管对象培训人数</w:t>
      </w:r>
      <w:r>
        <w:rPr>
          <w:rFonts w:hint="eastAsia" w:eastAsia="仿宋_GB2312" w:cs="Times New Roman"/>
          <w:color w:val="auto"/>
          <w:sz w:val="32"/>
          <w:szCs w:val="32"/>
          <w:highlight w:val="none"/>
          <w:lang w:val="en-US" w:eastAsia="zh-CN"/>
        </w:rPr>
        <w:t>122</w:t>
      </w:r>
      <w:r>
        <w:rPr>
          <w:rFonts w:hint="default" w:ascii="Times New Roman" w:hAnsi="Times New Roman" w:eastAsia="仿宋_GB2312" w:cs="Times New Roman"/>
          <w:color w:val="auto"/>
          <w:sz w:val="32"/>
          <w:szCs w:val="32"/>
          <w:highlight w:val="none"/>
        </w:rPr>
        <w:t>人；药品、医疗器械、化妆品生产企业检查覆盖率达到</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%；“两品一械”培训人员覆盖率达到</w:t>
      </w:r>
      <w:r>
        <w:rPr>
          <w:rFonts w:hint="eastAsia" w:eastAsia="仿宋_GB2312" w:cs="Times New Roman"/>
          <w:color w:val="auto"/>
          <w:sz w:val="32"/>
          <w:szCs w:val="32"/>
          <w:highlight w:val="none"/>
          <w:lang w:val="en-US" w:eastAsia="zh-CN"/>
        </w:rPr>
        <w:t>95</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通过项目实施提高全县“两品一械”总体安全水平，提高人民群众“两品一械”安全科普知识水平</w:t>
      </w:r>
      <w:r>
        <w:rPr>
          <w:rFonts w:hint="eastAsia" w:eastAsia="仿宋_GB2312" w:cs="Times New Roman"/>
          <w:color w:val="auto"/>
          <w:sz w:val="32"/>
          <w:szCs w:val="32"/>
          <w:highlight w:val="none"/>
          <w:lang w:eastAsia="zh-CN"/>
        </w:rPr>
        <w:t>。</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本项目预算绩效评价报告的评价对象是伊州财行[2024]16号2024年中央食品药品监管补助资金及其预算执行情况。该项目由</w:t>
      </w:r>
      <w:r>
        <w:rPr>
          <w:rFonts w:hint="eastAsia" w:ascii="Times New Roman" w:hAnsi="Times New Roman" w:eastAsia="仿宋_GB2312" w:cs="Times New Roman"/>
          <w:b w:val="0"/>
          <w:bCs w:val="0"/>
          <w:color w:val="auto"/>
          <w:highlight w:val="none"/>
          <w:lang w:val="en-US" w:eastAsia="zh-CN"/>
        </w:rPr>
        <w:t>特克斯县市场监督管理局</w:t>
      </w:r>
      <w:r>
        <w:rPr>
          <w:rFonts w:hint="default" w:ascii="Times New Roman" w:hAnsi="Times New Roman" w:eastAsia="仿宋_GB2312" w:cs="Times New Roman"/>
          <w:b w:val="0"/>
          <w:bCs w:val="0"/>
          <w:color w:val="auto"/>
          <w:highlight w:val="none"/>
        </w:rPr>
        <w:t>负责实施，旨在积极开展“两品一械”生产经营企业日常监督检查，全力保障公众用药用械用妆安全。项目预算涵盖从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2024年12月25日</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2.2</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社会影响：考察项目对社会方面的综合影响。</w:t>
      </w:r>
    </w:p>
    <w:p>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pPr>
        <w:spacing w:line="560" w:lineRule="exact"/>
        <w:ind w:firstLine="708" w:firstLineChars="200"/>
        <w:rPr>
          <w:rFonts w:hint="default" w:ascii="Times New Roman" w:hAnsi="Times New Roman" w:eastAsia="仿宋_GB2312" w:cs="Times New Roman"/>
          <w:color w:val="auto"/>
          <w:spacing w:val="17"/>
          <w:sz w:val="32"/>
          <w:szCs w:val="32"/>
          <w:highlight w:val="none"/>
          <w:lang w:eastAsia="zh-CN"/>
        </w:rPr>
      </w:pPr>
      <w:r>
        <w:rPr>
          <w:rFonts w:hint="default"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因素分析法，原因是：该项目属于经常性项目，各种因素均会影响绩效目标实现、实施效果，可采用内外部因素分析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财政部门和预算部门确认或认可的其他标准，原因是：该项目属于经常性项目，需根据政治因素、政策因素、市场因素等因素的分析。</w:t>
      </w:r>
    </w:p>
    <w:p>
      <w:pPr>
        <w:pStyle w:val="10"/>
        <w:numPr>
          <w:ilvl w:val="0"/>
          <w:numId w:val="3"/>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pPr>
        <w:keepNext w:val="0"/>
        <w:keepLines w:val="0"/>
        <w:widowControl/>
        <w:suppressLineNumbers w:val="0"/>
        <w:ind w:firstLine="640" w:firstLineChars="200"/>
        <w:jc w:val="left"/>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伊州财行[2024]16号2024年中央食品药品监管补助资金在监督检查药品生产经营企业数、药品、医疗器械、化妆品生产经营企业检查覆盖率等方面表现出色，达到了预期的标准与要求。同时，项目也在</w:t>
      </w:r>
      <w:r>
        <w:rPr>
          <w:rFonts w:hint="eastAsia" w:eastAsia="仿宋_GB2312" w:cs="Times New Roman"/>
          <w:color w:val="auto"/>
          <w:sz w:val="32"/>
          <w:szCs w:val="32"/>
          <w:highlight w:val="none"/>
          <w:lang w:val="en-US" w:eastAsia="zh-CN"/>
        </w:rPr>
        <w:t>监管全县食品、药品、医疗器械方面</w:t>
      </w:r>
      <w:r>
        <w:rPr>
          <w:rFonts w:hint="default" w:ascii="Times New Roman" w:hAnsi="Times New Roman" w:eastAsia="仿宋_GB2312" w:cs="Times New Roman"/>
          <w:color w:val="auto"/>
          <w:sz w:val="32"/>
          <w:szCs w:val="32"/>
          <w:highlight w:val="none"/>
        </w:rPr>
        <w:t>取得了显著的成效，如</w:t>
      </w:r>
      <w:r>
        <w:rPr>
          <w:rFonts w:ascii="仿宋_GB2312" w:hAnsi="宋体" w:eastAsia="仿宋_GB2312" w:cs="仿宋_GB2312"/>
          <w:color w:val="auto"/>
          <w:kern w:val="0"/>
          <w:sz w:val="31"/>
          <w:szCs w:val="31"/>
          <w:highlight w:val="none"/>
          <w:lang w:val="en-US" w:eastAsia="zh-CN" w:bidi="ar"/>
        </w:rPr>
        <w:t>检查药品经营单位 5</w:t>
      </w:r>
      <w:r>
        <w:rPr>
          <w:rFonts w:hint="eastAsia" w:ascii="仿宋_GB2312" w:hAnsi="宋体" w:eastAsia="仿宋_GB2312" w:cs="仿宋_GB2312"/>
          <w:color w:val="auto"/>
          <w:kern w:val="0"/>
          <w:sz w:val="31"/>
          <w:szCs w:val="31"/>
          <w:highlight w:val="none"/>
          <w:lang w:val="en-US" w:eastAsia="zh-CN" w:bidi="ar"/>
        </w:rPr>
        <w:t>7</w:t>
      </w:r>
      <w:r>
        <w:rPr>
          <w:rFonts w:ascii="仿宋_GB2312" w:hAnsi="宋体" w:eastAsia="仿宋_GB2312" w:cs="仿宋_GB2312"/>
          <w:color w:val="auto"/>
          <w:kern w:val="0"/>
          <w:sz w:val="31"/>
          <w:szCs w:val="31"/>
          <w:highlight w:val="none"/>
          <w:lang w:val="en-US" w:eastAsia="zh-CN" w:bidi="ar"/>
        </w:rPr>
        <w:t xml:space="preserve"> 家</w:t>
      </w:r>
      <w:r>
        <w:rPr>
          <w:rFonts w:hint="eastAsia" w:ascii="仿宋_GB2312" w:hAnsi="宋体" w:eastAsia="仿宋_GB2312" w:cs="仿宋_GB2312"/>
          <w:color w:val="auto"/>
          <w:kern w:val="0"/>
          <w:sz w:val="31"/>
          <w:szCs w:val="31"/>
          <w:highlight w:val="none"/>
          <w:lang w:val="en-US" w:eastAsia="zh-CN" w:bidi="ar"/>
        </w:rPr>
        <w:t>次，发现问题隐患182条、检查药品使用单位29家次，发现问题隐患52条</w:t>
      </w:r>
      <w:r>
        <w:rPr>
          <w:rFonts w:hint="default" w:ascii="Times New Roman" w:hAnsi="Times New Roman" w:eastAsia="仿宋_GB2312" w:cs="Times New Roman"/>
          <w:color w:val="auto"/>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val="en-US" w:eastAsia="zh-CN"/>
        </w:rPr>
        <w:t>特克斯县市场监督管理局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从项目效益的角度来看，本项目不仅实现了预期的社会效益方面产生了积极的影响。具体而言，</w:t>
      </w:r>
      <w:r>
        <w:rPr>
          <w:rFonts w:hint="eastAsia" w:eastAsia="仿宋_GB2312" w:cs="Times New Roman"/>
          <w:color w:val="auto"/>
          <w:sz w:val="32"/>
          <w:szCs w:val="32"/>
          <w:highlight w:val="none"/>
          <w:lang w:val="en-US" w:eastAsia="zh-CN"/>
        </w:rPr>
        <w:t>全县</w:t>
      </w:r>
      <w:r>
        <w:rPr>
          <w:rFonts w:hint="default" w:ascii="Times New Roman" w:hAnsi="Times New Roman" w:eastAsia="仿宋_GB2312" w:cs="Times New Roman"/>
          <w:color w:val="auto"/>
          <w:sz w:val="32"/>
          <w:szCs w:val="32"/>
          <w:highlight w:val="none"/>
        </w:rPr>
        <w:t>“两品一械”总体安全水平、队伍素质和装备配置水平等方面的提升，为项目的利益相关者带来了实实在在的利益。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综上所述，伊州财行[2024]16号2024年中央食品药品监管补助资金在绩效评价中表现出色，达到了项目的预期目标，并在多个方面取得了显著的成效。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lang w:val="en-US" w:eastAsia="zh-CN"/>
              </w:rPr>
            </w:pPr>
            <w:r>
              <w:rPr>
                <w:rFonts w:hint="eastAsia" w:eastAsia="仿宋_GB2312" w:cs="Times New Roman"/>
                <w:b/>
                <w:bCs/>
                <w:color w:val="auto"/>
                <w:sz w:val="21"/>
                <w:szCs w:val="21"/>
                <w:highlight w:val="none"/>
                <w:lang w:val="en-US" w:eastAsia="zh-CN"/>
              </w:rPr>
              <w:t>100</w:t>
            </w:r>
          </w:p>
        </w:tc>
      </w:tr>
    </w:tbl>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w:t>
      </w:r>
      <w:r>
        <w:rPr>
          <w:rFonts w:hint="default" w:ascii="Times New Roman" w:hAnsi="Times New Roman" w:eastAsia="仿宋_GB2312" w:cs="Times New Roman"/>
          <w:color w:val="auto"/>
          <w:sz w:val="32"/>
          <w:szCs w:val="32"/>
          <w:highlight w:val="none"/>
          <w:lang w:eastAsia="zh-Hans"/>
        </w:rPr>
        <w:t>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Han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eastAsia="zh-Han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5"/>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2.2</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w:t>
      </w:r>
      <w:bookmarkStart w:id="3" w:name="_GoBack"/>
      <w:bookmarkEnd w:id="3"/>
      <w:r>
        <w:rPr>
          <w:rFonts w:hint="default" w:ascii="Times New Roman" w:hAnsi="Times New Roman" w:eastAsia="仿宋_GB2312" w:cs="Times New Roman"/>
          <w:color w:val="auto"/>
          <w:sz w:val="32"/>
          <w:szCs w:val="32"/>
          <w:highlight w:val="none"/>
          <w:lang w:eastAsia="zh-CN"/>
        </w:rPr>
        <w:t>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5"/>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指标1：监督检查药品生产经营企业数，指标值：≧29家，实际完成值：</w:t>
      </w:r>
      <w:r>
        <w:rPr>
          <w:rFonts w:hint="eastAsia" w:eastAsia="仿宋_GB2312" w:cs="Times New Roman"/>
          <w:color w:val="auto"/>
          <w:sz w:val="32"/>
          <w:szCs w:val="32"/>
          <w:highlight w:val="none"/>
          <w:lang w:val="en-US" w:eastAsia="zh-CN"/>
        </w:rPr>
        <w:t>57</w:t>
      </w:r>
      <w:r>
        <w:rPr>
          <w:rFonts w:hint="default" w:ascii="Times New Roman" w:hAnsi="Times New Roman" w:eastAsia="仿宋_GB2312" w:cs="Times New Roman"/>
          <w:color w:val="auto"/>
          <w:sz w:val="32"/>
          <w:szCs w:val="32"/>
          <w:highlight w:val="none"/>
        </w:rPr>
        <w:t>家，指标完成率</w:t>
      </w:r>
      <w:r>
        <w:rPr>
          <w:rFonts w:hint="eastAsia" w:eastAsia="仿宋_GB2312" w:cs="Times New Roman"/>
          <w:color w:val="auto"/>
          <w:sz w:val="32"/>
          <w:szCs w:val="32"/>
          <w:highlight w:val="none"/>
          <w:lang w:val="en-US" w:eastAsia="zh-CN"/>
        </w:rPr>
        <w:t>196</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设定绩效目标值偏低，在监督检查工作中实际检查数量远超设定数量</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：药品、化妆品、医疗器械监管对象培训人数，指标值：≧120家，实际完成值：</w:t>
      </w:r>
      <w:r>
        <w:rPr>
          <w:rFonts w:hint="eastAsia" w:eastAsia="仿宋_GB2312" w:cs="Times New Roman"/>
          <w:color w:val="auto"/>
          <w:sz w:val="32"/>
          <w:szCs w:val="32"/>
          <w:highlight w:val="none"/>
          <w:lang w:val="en-US" w:eastAsia="zh-CN"/>
        </w:rPr>
        <w:t>177</w:t>
      </w:r>
      <w:r>
        <w:rPr>
          <w:rFonts w:hint="default" w:ascii="Times New Roman" w:hAnsi="Times New Roman" w:eastAsia="仿宋_GB2312" w:cs="Times New Roman"/>
          <w:color w:val="auto"/>
          <w:sz w:val="32"/>
          <w:szCs w:val="32"/>
          <w:highlight w:val="none"/>
        </w:rPr>
        <w:t>家，指标完成率</w:t>
      </w:r>
      <w:r>
        <w:rPr>
          <w:rFonts w:hint="eastAsia" w:eastAsia="仿宋_GB2312" w:cs="Times New Roman"/>
          <w:color w:val="auto"/>
          <w:sz w:val="32"/>
          <w:szCs w:val="32"/>
          <w:highlight w:val="none"/>
          <w:lang w:val="en-US" w:eastAsia="zh-CN"/>
        </w:rPr>
        <w:t>147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设定绩效目标值偏低，在后期培训过程中安排的培训密集、场次多</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指标1：药品、医疗器械、化妆品生产经营企业检查覆盖率，指标值：≧90%，实际完成值：90%，指标完成率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：“两品一械”培训人员覆盖率，指标值：≧90%，实际完成值：90%，指标完成率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指标1：任务完成时间，指标值：2024年12月25日，实际完成值：</w:t>
      </w:r>
      <w:r>
        <w:rPr>
          <w:rFonts w:hint="eastAsia" w:eastAsia="仿宋_GB2312" w:cs="Times New Roman"/>
          <w:color w:val="auto"/>
          <w:sz w:val="32"/>
          <w:szCs w:val="32"/>
          <w:highlight w:val="none"/>
          <w:lang w:val="en-US" w:eastAsia="zh-CN"/>
        </w:rPr>
        <w:t>2024年12月25日</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指标1：“两品一械”监管人员培训成本，指标值：</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200元/人/天，实际完成值：200元/人/天，指标完成率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pStyle w:val="12"/>
        <w:numPr>
          <w:ilvl w:val="0"/>
          <w:numId w:val="5"/>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个三级指标构成，权重分为20分，实际得分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①</w:t>
      </w:r>
      <w:r>
        <w:rPr>
          <w:rFonts w:hint="default" w:ascii="Times New Roman" w:hAnsi="Times New Roman" w:eastAsia="仿宋_GB2312" w:cs="Times New Roman"/>
          <w:color w:val="auto"/>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指标1：“两品一械”总体安全水平，指标值：不断提高，实际完成值：不断提高，指标完成率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：人民群众“两品一械”安全科普知识水平，指标值：不断提高，实际完成值：不断提高，指标完成率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指标1：公众对药品、医疗器械、化妆品监管满意度，指标值：≧</w:t>
      </w:r>
      <w:r>
        <w:rPr>
          <w:rFonts w:hint="eastAsia" w:eastAsia="仿宋_GB2312" w:cs="Times New Roman"/>
          <w:color w:val="auto"/>
          <w:sz w:val="32"/>
          <w:szCs w:val="32"/>
          <w:highlight w:val="none"/>
          <w:lang w:val="en-US" w:eastAsia="zh-CN"/>
        </w:rPr>
        <w:t>85%</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117%</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我单位对药品、医疗器械、化妆品监管得到大众的满意度较高，宣传活动得到大家认可</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：培训对象对培训工作的满意度，指标值：≧</w:t>
      </w:r>
      <w:r>
        <w:rPr>
          <w:rFonts w:hint="eastAsia" w:eastAsia="仿宋_GB2312" w:cs="Times New Roman"/>
          <w:color w:val="auto"/>
          <w:sz w:val="32"/>
          <w:szCs w:val="32"/>
          <w:highlight w:val="none"/>
          <w:lang w:val="en-US" w:eastAsia="zh-CN"/>
        </w:rPr>
        <w:t>85%</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117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我单位对药品、医疗器械、化妆品方面的培训力度使经营单位接受度较高，培训活动得到大家认可</w:t>
      </w:r>
      <w:r>
        <w:rPr>
          <w:rFonts w:hint="default" w:ascii="Times New Roman" w:hAnsi="Times New Roman"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：药品经营企业满意度，指标值：≧</w:t>
      </w:r>
      <w:r>
        <w:rPr>
          <w:rFonts w:hint="eastAsia" w:eastAsia="仿宋_GB2312" w:cs="Times New Roman"/>
          <w:color w:val="auto"/>
          <w:sz w:val="32"/>
          <w:szCs w:val="32"/>
          <w:highlight w:val="none"/>
          <w:lang w:val="en-US" w:eastAsia="zh-CN"/>
        </w:rPr>
        <w:t>90%</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111</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，偏差原因：</w:t>
      </w:r>
      <w:r>
        <w:rPr>
          <w:rFonts w:hint="eastAsia" w:eastAsia="仿宋_GB2312" w:cs="Times New Roman"/>
          <w:color w:val="auto"/>
          <w:sz w:val="32"/>
          <w:szCs w:val="32"/>
          <w:highlight w:val="none"/>
          <w:lang w:val="en-US" w:eastAsia="zh-CN"/>
        </w:rPr>
        <w:t>我单位对药品经营企业的监管、培训、帮助得到他们的认可</w:t>
      </w:r>
      <w:r>
        <w:rPr>
          <w:rFonts w:hint="default" w:ascii="Times New Roman" w:hAnsi="Times New Roman" w:eastAsia="仿宋_GB2312" w:cs="Times New Roman"/>
          <w:color w:val="auto"/>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color w:val="auto"/>
          <w:sz w:val="32"/>
          <w:szCs w:val="32"/>
          <w:highlight w:val="none"/>
          <w:lang w:val="en-US" w:eastAsia="zh-Han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eastAsia="zh-Hans"/>
        </w:rPr>
        <w:t>预算执行进度与绩效指标总体完成率偏差</w:t>
      </w:r>
    </w:p>
    <w:p>
      <w:pPr>
        <w:pStyle w:val="19"/>
        <w:spacing w:line="560" w:lineRule="exact"/>
        <w:ind w:firstLine="640"/>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kern w:val="2"/>
          <w:sz w:val="32"/>
          <w:szCs w:val="32"/>
          <w:highlight w:val="none"/>
          <w:lang w:val="en-US" w:eastAsia="zh-CN" w:bidi="ar-SA"/>
        </w:rPr>
        <w:t>伊州财行[2024]16号2024年中央食品药品监管补助资金项目年初预算</w:t>
      </w:r>
      <w:r>
        <w:rPr>
          <w:rFonts w:hint="eastAsia" w:ascii="Times New Roman" w:hAnsi="Times New Roman" w:eastAsia="仿宋_GB2312" w:cs="Times New Roman"/>
          <w:color w:val="auto"/>
          <w:kern w:val="2"/>
          <w:sz w:val="32"/>
          <w:szCs w:val="32"/>
          <w:highlight w:val="none"/>
          <w:lang w:val="en-US" w:eastAsia="zh-CN" w:bidi="ar-SA"/>
        </w:rPr>
        <w:t>2.2</w:t>
      </w:r>
      <w:r>
        <w:rPr>
          <w:rFonts w:hint="default" w:ascii="Times New Roman" w:hAnsi="Times New Roman" w:eastAsia="仿宋_GB2312" w:cs="Times New Roman"/>
          <w:color w:val="auto"/>
          <w:kern w:val="2"/>
          <w:sz w:val="32"/>
          <w:szCs w:val="32"/>
          <w:highlight w:val="none"/>
          <w:lang w:val="en-US" w:eastAsia="zh-CN" w:bidi="ar-SA"/>
        </w:rPr>
        <w:t>万元，全年预算</w:t>
      </w:r>
      <w:r>
        <w:rPr>
          <w:rFonts w:hint="eastAsia" w:ascii="Times New Roman" w:hAnsi="Times New Roman" w:eastAsia="仿宋_GB2312" w:cs="Times New Roman"/>
          <w:color w:val="auto"/>
          <w:kern w:val="2"/>
          <w:sz w:val="32"/>
          <w:szCs w:val="32"/>
          <w:highlight w:val="none"/>
          <w:lang w:val="en-US" w:eastAsia="zh-CN" w:bidi="ar-SA"/>
        </w:rPr>
        <w:t>2.2</w:t>
      </w:r>
      <w:r>
        <w:rPr>
          <w:rFonts w:hint="default" w:ascii="Times New Roman" w:hAnsi="Times New Roman" w:eastAsia="仿宋_GB2312" w:cs="Times New Roman"/>
          <w:color w:val="auto"/>
          <w:kern w:val="2"/>
          <w:sz w:val="32"/>
          <w:szCs w:val="32"/>
          <w:highlight w:val="none"/>
          <w:lang w:val="en-US" w:eastAsia="zh-CN" w:bidi="ar-SA"/>
        </w:rPr>
        <w:t>万元，实际支出</w:t>
      </w:r>
      <w:r>
        <w:rPr>
          <w:rFonts w:hint="eastAsia" w:ascii="Times New Roman" w:hAnsi="Times New Roman" w:eastAsia="仿宋_GB2312" w:cs="Times New Roman"/>
          <w:color w:val="auto"/>
          <w:kern w:val="2"/>
          <w:sz w:val="32"/>
          <w:szCs w:val="32"/>
          <w:highlight w:val="none"/>
          <w:lang w:val="en-US" w:eastAsia="zh-CN" w:bidi="ar-SA"/>
        </w:rPr>
        <w:t>2.2</w:t>
      </w:r>
      <w:r>
        <w:rPr>
          <w:rFonts w:hint="default" w:ascii="Times New Roman" w:hAnsi="Times New Roman" w:eastAsia="仿宋_GB2312" w:cs="Times New Roman"/>
          <w:color w:val="auto"/>
          <w:kern w:val="2"/>
          <w:sz w:val="32"/>
          <w:szCs w:val="32"/>
          <w:highlight w:val="none"/>
          <w:lang w:val="en-US" w:eastAsia="zh-CN" w:bidi="ar-SA"/>
        </w:rPr>
        <w:t>万元，预算执行率为</w:t>
      </w:r>
      <w:r>
        <w:rPr>
          <w:rFonts w:hint="eastAsia" w:ascii="Times New Roman" w:hAnsi="Times New Roman" w:eastAsia="仿宋_GB2312" w:cs="Times New Roman"/>
          <w:color w:val="auto"/>
          <w:kern w:val="2"/>
          <w:sz w:val="32"/>
          <w:szCs w:val="32"/>
          <w:highlight w:val="none"/>
          <w:lang w:val="en-US" w:eastAsia="zh-CN" w:bidi="ar-SA"/>
        </w:rPr>
        <w:t>100</w:t>
      </w:r>
      <w:r>
        <w:rPr>
          <w:rFonts w:hint="default" w:ascii="Times New Roman" w:hAnsi="Times New Roman" w:eastAsia="仿宋_GB2312" w:cs="Times New Roman"/>
          <w:color w:val="auto"/>
          <w:kern w:val="2"/>
          <w:sz w:val="32"/>
          <w:szCs w:val="32"/>
          <w:highlight w:val="none"/>
          <w:lang w:val="en-US" w:eastAsia="zh-CN" w:bidi="ar-SA"/>
        </w:rPr>
        <w:t>%，项目绩效指标总体完成率为</w:t>
      </w:r>
      <w:r>
        <w:rPr>
          <w:rFonts w:hint="eastAsia" w:ascii="Times New Roman" w:hAnsi="Times New Roman" w:eastAsia="仿宋_GB2312" w:cs="Times New Roman"/>
          <w:color w:val="auto"/>
          <w:kern w:val="2"/>
          <w:sz w:val="32"/>
          <w:szCs w:val="32"/>
          <w:highlight w:val="none"/>
          <w:lang w:val="en-US" w:eastAsia="zh-CN" w:bidi="ar-SA"/>
        </w:rPr>
        <w:t>117</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Hans" w:bidi="ar-SA"/>
        </w:rPr>
        <w:t>总体</w:t>
      </w:r>
      <w:r>
        <w:rPr>
          <w:rFonts w:hint="default" w:ascii="Times New Roman" w:hAnsi="Times New Roman" w:eastAsia="仿宋_GB2312" w:cs="Times New Roman"/>
          <w:color w:val="auto"/>
          <w:kern w:val="2"/>
          <w:sz w:val="32"/>
          <w:szCs w:val="32"/>
          <w:highlight w:val="none"/>
          <w:lang w:val="en-US" w:eastAsia="zh-CN" w:bidi="ar-SA"/>
        </w:rPr>
        <w:t>偏差率为</w:t>
      </w:r>
      <w:r>
        <w:rPr>
          <w:rFonts w:hint="eastAsia" w:ascii="Times New Roman" w:hAnsi="Times New Roman" w:eastAsia="仿宋_GB2312" w:cs="Times New Roman"/>
          <w:color w:val="auto"/>
          <w:kern w:val="2"/>
          <w:sz w:val="32"/>
          <w:szCs w:val="32"/>
          <w:highlight w:val="none"/>
          <w:lang w:val="en-US" w:eastAsia="zh-CN" w:bidi="ar-SA"/>
        </w:rPr>
        <w:t>17</w:t>
      </w:r>
      <w:r>
        <w:rPr>
          <w:rFonts w:hint="default"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Hans" w:bidi="ar-SA"/>
        </w:rPr>
        <w:t>偏差</w:t>
      </w:r>
      <w:r>
        <w:rPr>
          <w:rFonts w:hint="default" w:ascii="Times New Roman" w:hAnsi="Times New Roman" w:eastAsia="仿宋_GB2312" w:cs="Times New Roman"/>
          <w:color w:val="auto"/>
          <w:kern w:val="2"/>
          <w:sz w:val="32"/>
          <w:szCs w:val="32"/>
          <w:highlight w:val="none"/>
          <w:lang w:val="en-US" w:eastAsia="zh-CN" w:bidi="ar-SA"/>
        </w:rPr>
        <w:t>原因</w:t>
      </w:r>
      <w:r>
        <w:rPr>
          <w:rFonts w:hint="eastAsia" w:ascii="Times New Roman" w:hAnsi="Times New Roman" w:eastAsia="仿宋_GB2312" w:cs="Times New Roman"/>
          <w:color w:val="auto"/>
          <w:kern w:val="2"/>
          <w:sz w:val="32"/>
          <w:szCs w:val="32"/>
          <w:highlight w:val="none"/>
          <w:lang w:val="en-US" w:eastAsia="zh-CN" w:bidi="ar-SA"/>
        </w:rPr>
        <w:t>年初设置目标值偏低，实际工作中超出设置的目标值</w:t>
      </w:r>
      <w:r>
        <w:rPr>
          <w:rFonts w:hint="default" w:ascii="Times New Roman" w:hAnsi="Times New Roman" w:eastAsia="仿宋_GB2312" w:cs="Times New Roman"/>
          <w:color w:val="auto"/>
          <w:kern w:val="2"/>
          <w:sz w:val="32"/>
          <w:szCs w:val="32"/>
          <w:highlight w:val="none"/>
          <w:lang w:val="en-US" w:eastAsia="zh-CN" w:bidi="ar-SA"/>
        </w:rPr>
        <w:t>，</w:t>
      </w:r>
      <w:r>
        <w:rPr>
          <w:rFonts w:hint="default" w:ascii="Times New Roman" w:hAnsi="Times New Roman" w:eastAsia="仿宋_GB2312" w:cs="Times New Roman"/>
          <w:color w:val="auto"/>
          <w:kern w:val="2"/>
          <w:sz w:val="32"/>
          <w:szCs w:val="32"/>
          <w:highlight w:val="none"/>
          <w:lang w:val="en-US" w:eastAsia="zh-Hans" w:bidi="ar-SA"/>
        </w:rPr>
        <w:t>改进</w:t>
      </w:r>
      <w:r>
        <w:rPr>
          <w:rFonts w:hint="default" w:ascii="Times New Roman" w:hAnsi="Times New Roman" w:eastAsia="仿宋_GB2312" w:cs="Times New Roman"/>
          <w:color w:val="auto"/>
          <w:kern w:val="2"/>
          <w:sz w:val="32"/>
          <w:szCs w:val="32"/>
          <w:highlight w:val="none"/>
          <w:lang w:val="en-US" w:eastAsia="zh-CN" w:bidi="ar-SA"/>
        </w:rPr>
        <w:t>措施下一步需精准数据填报。</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民意调查</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企业满意度调查</w:t>
      </w:r>
      <w:r>
        <w:rPr>
          <w:rFonts w:hint="default" w:ascii="Times New Roman" w:hAnsi="Times New Roman" w:eastAsia="仿宋_GB2312" w:cs="Times New Roman"/>
          <w:color w:val="auto"/>
          <w:sz w:val="32"/>
          <w:szCs w:val="32"/>
          <w:highlight w:val="none"/>
        </w:rPr>
        <w:t>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color w:val="auto"/>
          <w:kern w:val="2"/>
          <w:highlight w:val="none"/>
        </w:rPr>
      </w:pPr>
      <w:r>
        <w:rPr>
          <w:rFonts w:hint="default" w:ascii="Times New Roman" w:hAnsi="Times New Roman" w:eastAsia="仿宋_GB2312" w:cs="Times New Roman"/>
          <w:b w:val="0"/>
          <w:bCs w:val="0"/>
          <w:color w:val="auto"/>
          <w:kern w:val="2"/>
          <w:highlight w:val="none"/>
        </w:rPr>
        <w:t>严格坚持先做事、后验收、再拨付的原则，</w:t>
      </w:r>
      <w:r>
        <w:rPr>
          <w:rFonts w:hint="eastAsia" w:ascii="Times New Roman" w:hAnsi="Times New Roman" w:eastAsia="仿宋_GB2312" w:cs="Times New Roman"/>
          <w:b w:val="0"/>
          <w:bCs w:val="0"/>
          <w:color w:val="auto"/>
          <w:kern w:val="2"/>
          <w:highlight w:val="none"/>
          <w:lang w:eastAsia="zh-CN"/>
        </w:rPr>
        <w:t>杜绝</w:t>
      </w:r>
      <w:r>
        <w:rPr>
          <w:rFonts w:hint="default" w:ascii="Times New Roman" w:hAnsi="Times New Roman" w:eastAsia="仿宋_GB2312" w:cs="Times New Roman"/>
          <w:b w:val="0"/>
          <w:bCs w:val="0"/>
          <w:color w:val="auto"/>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2.因轮岗、调动</w:t>
      </w:r>
      <w:r>
        <w:rPr>
          <w:rFonts w:hint="eastAsia"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lang w:val="en-US" w:eastAsia="zh-CN"/>
        </w:rPr>
        <w:t>因素使我单位绩效工作人员流动频繁，</w:t>
      </w:r>
      <w:r>
        <w:rPr>
          <w:rFonts w:hint="eastAsia" w:ascii="Times New Roman" w:hAnsi="Times New Roman" w:eastAsia="仿宋_GB2312" w:cs="Times New Roman"/>
          <w:color w:val="auto"/>
          <w:sz w:val="32"/>
          <w:szCs w:val="32"/>
          <w:highlight w:val="none"/>
          <w:lang w:val="en-US" w:eastAsia="zh-CN"/>
        </w:rPr>
        <w:t>造成</w:t>
      </w:r>
      <w:r>
        <w:rPr>
          <w:rFonts w:hint="default" w:ascii="Times New Roman" w:hAnsi="Times New Roman" w:eastAsia="仿宋_GB2312" w:cs="Times New Roman"/>
          <w:color w:val="auto"/>
          <w:sz w:val="32"/>
          <w:szCs w:val="32"/>
          <w:highlight w:val="none"/>
          <w:lang w:val="en-US" w:eastAsia="zh-CN"/>
        </w:rPr>
        <w:t>工作衔接不到位的情况。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3.年初设置绩效目标值偏低，但后期实际工作中超出设置的目标值，在之后会精准数据填报目标值。</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color w:val="auto"/>
          <w:sz w:val="22"/>
          <w:szCs w:val="28"/>
          <w:highlight w:val="none"/>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color w:val="auto"/>
          <w:sz w:val="32"/>
          <w:szCs w:val="32"/>
          <w:highlight w:val="none"/>
          <w:lang w:eastAsia="zh-Hans"/>
        </w:rPr>
      </w:pPr>
      <w:r>
        <w:rPr>
          <w:rFonts w:hint="default" w:ascii="Times New Roman" w:hAnsi="Times New Roman" w:eastAsia="仿宋_GB2312" w:cs="Times New Roman"/>
          <w:color w:val="auto"/>
          <w:sz w:val="32"/>
          <w:szCs w:val="32"/>
          <w:highlight w:val="none"/>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color w:val="auto"/>
          <w:sz w:val="32"/>
          <w:szCs w:val="32"/>
          <w:highlight w:val="none"/>
          <w:lang w:eastAsia="zh-CN"/>
        </w:rPr>
      </w:pPr>
    </w:p>
    <w:p>
      <w:pPr>
        <w:pStyle w:val="13"/>
        <w:spacing w:after="0" w:line="560" w:lineRule="exact"/>
        <w:ind w:left="0" w:leftChars="0" w:firstLine="640"/>
        <w:rPr>
          <w:rFonts w:hint="eastAsia" w:ascii="Times New Roman" w:hAnsi="Times New Roman" w:eastAsia="仿宋_GB2312" w:cs="Times New Roman"/>
          <w:color w:val="auto"/>
          <w:sz w:val="32"/>
          <w:szCs w:val="32"/>
          <w:highlight w:val="none"/>
          <w:lang w:eastAsia="zh-CN"/>
        </w:rPr>
      </w:pPr>
    </w:p>
    <w:p>
      <w:pPr>
        <w:pStyle w:val="13"/>
        <w:spacing w:after="0" w:line="560" w:lineRule="exact"/>
        <w:ind w:left="0" w:leftChars="0" w:firstLine="640"/>
        <w:rPr>
          <w:rFonts w:hint="eastAsia" w:ascii="Times New Roman" w:hAnsi="Times New Roman" w:eastAsia="仿宋_GB2312" w:cs="Times New Roman"/>
          <w:color w:val="auto"/>
          <w:sz w:val="32"/>
          <w:szCs w:val="32"/>
          <w:highlight w:val="none"/>
          <w:lang w:eastAsia="zh-CN"/>
        </w:rPr>
      </w:pPr>
    </w:p>
    <w:p>
      <w:pPr>
        <w:pStyle w:val="13"/>
        <w:spacing w:after="0" w:line="560" w:lineRule="exact"/>
        <w:ind w:left="0" w:leftChars="0" w:firstLine="643" w:firstLineChars="200"/>
        <w:rPr>
          <w:rFonts w:hint="eastAsia" w:ascii="Times New Roman" w:hAnsi="Times New Roman" w:eastAsia="仿宋_GB2312" w:cs="Times New Roman"/>
          <w:b/>
          <w:bCs/>
          <w:color w:val="auto"/>
          <w:sz w:val="32"/>
          <w:szCs w:val="32"/>
          <w:highlight w:val="none"/>
          <w:lang w:eastAsia="zh-CN"/>
        </w:rPr>
      </w:pPr>
    </w:p>
    <w:p>
      <w:pPr>
        <w:pStyle w:val="13"/>
        <w:spacing w:after="0" w:line="560" w:lineRule="exact"/>
        <w:ind w:left="0" w:leftChars="0" w:firstLine="640"/>
        <w:rPr>
          <w:rFonts w:hint="default" w:ascii="Times New Roman" w:hAnsi="Times New Roman" w:eastAsia="仿宋_GB2312" w:cs="Times New Roman"/>
          <w:color w:val="auto"/>
          <w:sz w:val="32"/>
          <w:szCs w:val="32"/>
          <w:highlight w:val="none"/>
        </w:rPr>
      </w:pPr>
    </w:p>
    <w:p>
      <w:pPr>
        <w:pStyle w:val="13"/>
        <w:spacing w:after="0" w:line="560" w:lineRule="exact"/>
        <w:ind w:left="0" w:leftChars="0" w:firstLine="640"/>
        <w:rPr>
          <w:rFonts w:hint="default" w:ascii="Times New Roman" w:hAnsi="Times New Roman" w:eastAsia="仿宋_GB2312" w:cs="Times New Roman"/>
          <w:color w:val="auto"/>
          <w:sz w:val="32"/>
          <w:szCs w:val="32"/>
          <w:highlight w:val="none"/>
        </w:rPr>
      </w:pPr>
    </w:p>
    <w:p>
      <w:pPr>
        <w:pStyle w:val="13"/>
        <w:spacing w:after="0" w:line="560" w:lineRule="exact"/>
        <w:ind w:left="0" w:leftChars="0" w:firstLine="0" w:firstLineChars="0"/>
        <w:rPr>
          <w:rFonts w:hint="default" w:ascii="Times New Roman" w:hAnsi="Times New Roman" w:eastAsia="仿宋_GB2312" w:cs="Times New Roman"/>
          <w:color w:val="auto"/>
          <w:sz w:val="32"/>
          <w:szCs w:val="32"/>
          <w:highlight w:val="none"/>
        </w:rPr>
      </w:pPr>
    </w:p>
    <w:p>
      <w:pPr>
        <w:spacing w:line="600" w:lineRule="exact"/>
        <w:rPr>
          <w:rFonts w:hint="eastAsia" w:ascii="Times New Roman" w:hAnsi="Times New Roman" w:eastAsia="黑体" w:cs="Times New Roman"/>
          <w:color w:val="auto"/>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附件</w:t>
      </w:r>
      <w:r>
        <w:rPr>
          <w:rFonts w:hint="eastAsia" w:eastAsia="黑体" w:cs="Times New Roman"/>
          <w:color w:val="auto"/>
          <w:sz w:val="32"/>
          <w:szCs w:val="32"/>
          <w:highlight w:val="none"/>
          <w:lang w:val="en-US" w:eastAsia="zh-CN"/>
        </w:rPr>
        <w:t>1</w:t>
      </w:r>
    </w:p>
    <w:p>
      <w:pPr>
        <w:pStyle w:val="19"/>
        <w:ind w:firstLine="562"/>
        <w:jc w:val="center"/>
        <w:rPr>
          <w:rFonts w:hint="eastAsia" w:ascii="仿宋_GB2312" w:hAnsi="仿宋_GB2312" w:eastAsia="仿宋_GB2312" w:cs="仿宋_GB2312"/>
          <w:color w:val="auto"/>
          <w:sz w:val="28"/>
          <w:szCs w:val="40"/>
          <w:highlight w:val="none"/>
        </w:rPr>
      </w:pPr>
      <w:bookmarkStart w:id="1" w:name="_Toc26499_WPSOffice_Level2"/>
      <w:bookmarkStart w:id="2" w:name="_Toc30064_WPSOffice_Level1"/>
      <w:r>
        <w:rPr>
          <w:rFonts w:hint="eastAsia" w:ascii="仿宋_GB2312" w:hAnsi="仿宋_GB2312" w:eastAsia="仿宋_GB2312" w:cs="仿宋_GB2312"/>
          <w:b/>
          <w:bCs/>
          <w:color w:val="auto"/>
          <w:sz w:val="28"/>
          <w:szCs w:val="40"/>
          <w:highlight w:val="none"/>
        </w:rPr>
        <w:t>伊州财行[2024]16号2024年中央食品药品监管补助资金绩效评价指标体系及综合评分表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立项依据</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②项目立项是否符合行业发展规划和政策要求；</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③项目立项是否与部门职责范围相符，属于部门履职所需；</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立项程序</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①项目是否按照规定的程序申请设立；</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②审批文件、材料是否符合相关要求；</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绩效目标</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（如未设定预算绩效目标，也可考核其他工作任务目标）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①项目是否有绩效目标；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②项目绩效目标与实际工作内容是否具有相关性；</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绩效指标</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①是否将项目绩效目标细化分解为具体的绩效指标；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②是否通过清晰、可衡量的指标值予以体现；</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③是否与项目目标任务数或计划数相对应。</w:t>
            </w:r>
            <w:r>
              <w:rPr>
                <w:rFonts w:hint="default" w:ascii="Times New Roman" w:hAnsi="Times New Roman" w:eastAsia="仿宋_GB2312" w:cs="Times New Roman"/>
                <w:color w:val="auto"/>
                <w:kern w:val="0"/>
                <w:sz w:val="18"/>
                <w:szCs w:val="18"/>
                <w:highlight w:val="none"/>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资金投入</w:t>
            </w:r>
          </w:p>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预算编制</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①预算编制是否经过科学论证；</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②预算内容与项目内容是否匹配；</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③预算额度测算依据是否充分，是否按照标准编制；</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资金分配</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①预算资金分配依据是否充分；</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p>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过程</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预算执行率=（实际支出资金/实际到位资金）×100%。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资金使用</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②资金的拨付是否有完整的审批程序和手续；</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③是否符合项目预算批复或合同规定的用途；</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组织实施</w:t>
            </w:r>
          </w:p>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管理制度</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①是否已制定或具有相应的财务和业务管理制度；</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制度执行</w:t>
            </w:r>
          </w:p>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评价要点：</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①是否遵守相关法律法规和相关管理规定；</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②项目调整及支出调整手续是否完备；</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③项目合同书、验收报告、技术鉴定等资料是否齐全并及时归档；</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实际完成率=（实际产出数/计划产出数）×100%。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实际完成时间：项目实施单位完成该项目实际所耗用的时间。</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成本节约率=[（计划成本-实际成本）/计划成本]×100%。</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auto"/>
                <w:kern w:val="0"/>
                <w:sz w:val="18"/>
                <w:szCs w:val="18"/>
                <w:highlight w:val="none"/>
              </w:rPr>
              <w:br w:type="textWrapping"/>
            </w:r>
            <w:r>
              <w:rPr>
                <w:rFonts w:hint="default" w:ascii="Times New Roman" w:hAnsi="Times New Roman" w:eastAsia="仿宋_GB2312" w:cs="Times New Roman"/>
                <w:color w:val="auto"/>
                <w:kern w:val="0"/>
                <w:sz w:val="18"/>
                <w:szCs w:val="18"/>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auto"/>
                <w:kern w:val="0"/>
                <w:sz w:val="18"/>
                <w:szCs w:val="18"/>
                <w:highlight w:val="none"/>
                <w:lang w:eastAsia="zh-CN"/>
              </w:rPr>
            </w:pPr>
            <w:r>
              <w:rPr>
                <w:rFonts w:hint="eastAsia" w:eastAsia="仿宋_GB2312" w:cs="Times New Roman"/>
                <w:b/>
                <w:bCs/>
                <w:color w:val="auto"/>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auto"/>
                <w:kern w:val="0"/>
                <w:sz w:val="18"/>
                <w:szCs w:val="18"/>
                <w:highlight w:val="none"/>
              </w:rPr>
            </w:pPr>
            <w:r>
              <w:rPr>
                <w:rFonts w:hint="default" w:ascii="Times New Roman" w:hAnsi="Times New Roman" w:eastAsia="仿宋_GB2312" w:cs="Times New Roman"/>
                <w:color w:val="auto"/>
                <w:kern w:val="0"/>
                <w:sz w:val="18"/>
                <w:szCs w:val="18"/>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rPr>
            </w:pPr>
            <w:r>
              <w:rPr>
                <w:rFonts w:hint="default" w:ascii="Times New Roman" w:hAnsi="Times New Roman" w:eastAsia="仿宋_GB2312" w:cs="Times New Roman"/>
                <w:b/>
                <w:bCs/>
                <w:color w:val="auto"/>
                <w:kern w:val="0"/>
                <w:sz w:val="18"/>
                <w:szCs w:val="18"/>
                <w:highlight w:val="none"/>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auto"/>
                <w:kern w:val="0"/>
                <w:sz w:val="18"/>
                <w:szCs w:val="18"/>
                <w:highlight w:val="none"/>
                <w:lang w:val="en-US" w:eastAsia="zh-CN"/>
              </w:rPr>
            </w:pPr>
            <w:r>
              <w:rPr>
                <w:rFonts w:hint="eastAsia" w:eastAsia="仿宋_GB2312" w:cs="Times New Roman"/>
                <w:b/>
                <w:bCs/>
                <w:color w:val="auto"/>
                <w:kern w:val="0"/>
                <w:sz w:val="18"/>
                <w:szCs w:val="18"/>
                <w:highlight w:val="none"/>
                <w:lang w:val="en-US" w:eastAsia="zh-CN"/>
              </w:rPr>
              <w:t>10</w:t>
            </w:r>
          </w:p>
        </w:tc>
      </w:tr>
    </w:tbl>
    <w:p>
      <w:pPr>
        <w:rPr>
          <w:rFonts w:hint="default" w:ascii="Times New Roman" w:hAnsi="Times New Roman" w:cs="Times New Roman"/>
          <w:color w:val="auto"/>
          <w:highlight w:val="none"/>
        </w:rPr>
        <w:sectPr>
          <w:pgSz w:w="16838" w:h="11906" w:orient="landscape"/>
          <w:pgMar w:top="1800" w:right="1440" w:bottom="1558" w:left="1440" w:header="851" w:footer="992" w:gutter="0"/>
          <w:cols w:space="425" w:num="1"/>
          <w:docGrid w:type="lines" w:linePitch="312" w:charSpace="0"/>
        </w:sectPr>
      </w:pPr>
    </w:p>
    <w:p>
      <w:pPr>
        <w:jc w:val="center"/>
        <w:rPr>
          <w:rFonts w:hint="default" w:ascii="Times New Roman" w:hAnsi="Times New Roman" w:cs="Times New Roman"/>
          <w:color w:val="auto"/>
          <w:highlight w:val="none"/>
        </w:rPr>
      </w:pPr>
      <w:r>
        <w:drawing>
          <wp:inline distT="0" distB="0" distL="114300" distR="114300">
            <wp:extent cx="6174740" cy="5424805"/>
            <wp:effectExtent l="0" t="0" r="12700"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6174740" cy="5424805"/>
                    </a:xfrm>
                    <a:prstGeom prst="rect">
                      <a:avLst/>
                    </a:prstGeom>
                    <a:noFill/>
                    <a:ln>
                      <a:noFill/>
                    </a:ln>
                  </pic:spPr>
                </pic:pic>
              </a:graphicData>
            </a:graphic>
          </wp:inline>
        </w:drawing>
      </w: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943FDD"/>
    <w:multiLevelType w:val="singleLevel"/>
    <w:tmpl w:val="A8943FDD"/>
    <w:lvl w:ilvl="0" w:tentative="0">
      <w:start w:val="2"/>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08B0E33"/>
    <w:rsid w:val="11170296"/>
    <w:rsid w:val="12C66037"/>
    <w:rsid w:val="12CD1ABC"/>
    <w:rsid w:val="13471461"/>
    <w:rsid w:val="13B90F01"/>
    <w:rsid w:val="155E4C4D"/>
    <w:rsid w:val="16B41601"/>
    <w:rsid w:val="171A677F"/>
    <w:rsid w:val="181066D2"/>
    <w:rsid w:val="1C671E73"/>
    <w:rsid w:val="1D322C47"/>
    <w:rsid w:val="20867784"/>
    <w:rsid w:val="23616034"/>
    <w:rsid w:val="23696C97"/>
    <w:rsid w:val="24480FA2"/>
    <w:rsid w:val="25227A45"/>
    <w:rsid w:val="26AC3A6A"/>
    <w:rsid w:val="291F2F11"/>
    <w:rsid w:val="2B9A6950"/>
    <w:rsid w:val="2B9B651A"/>
    <w:rsid w:val="2B9D7E25"/>
    <w:rsid w:val="2C7C7A3B"/>
    <w:rsid w:val="2F364819"/>
    <w:rsid w:val="2FD63906"/>
    <w:rsid w:val="37215DAE"/>
    <w:rsid w:val="38CA40DD"/>
    <w:rsid w:val="395F2B56"/>
    <w:rsid w:val="3A714364"/>
    <w:rsid w:val="3BBA0580"/>
    <w:rsid w:val="3BECE841"/>
    <w:rsid w:val="3C316B02"/>
    <w:rsid w:val="3CDE204C"/>
    <w:rsid w:val="3D363C36"/>
    <w:rsid w:val="3E9C3F6D"/>
    <w:rsid w:val="3FF7797D"/>
    <w:rsid w:val="46690BD8"/>
    <w:rsid w:val="49F70BF1"/>
    <w:rsid w:val="4B090B94"/>
    <w:rsid w:val="4B4340EE"/>
    <w:rsid w:val="503D507A"/>
    <w:rsid w:val="51FA74D0"/>
    <w:rsid w:val="52AA4A52"/>
    <w:rsid w:val="57A279A2"/>
    <w:rsid w:val="581273A2"/>
    <w:rsid w:val="59943D66"/>
    <w:rsid w:val="59E051FD"/>
    <w:rsid w:val="59E6355E"/>
    <w:rsid w:val="5B821531"/>
    <w:rsid w:val="5BFF6039"/>
    <w:rsid w:val="5D76A616"/>
    <w:rsid w:val="5D7F20B9"/>
    <w:rsid w:val="5DAC7D0E"/>
    <w:rsid w:val="5F810EF8"/>
    <w:rsid w:val="5F98B5AF"/>
    <w:rsid w:val="5FFE8511"/>
    <w:rsid w:val="5FFEACE2"/>
    <w:rsid w:val="609D5BF6"/>
    <w:rsid w:val="61073070"/>
    <w:rsid w:val="61732D29"/>
    <w:rsid w:val="61B9080E"/>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FD8BE9"/>
    <w:rsid w:val="78000AED"/>
    <w:rsid w:val="797A0159"/>
    <w:rsid w:val="79A9BD3F"/>
    <w:rsid w:val="7B320D4E"/>
    <w:rsid w:val="7B776F12"/>
    <w:rsid w:val="7BFFFDD0"/>
    <w:rsid w:val="7C336E5F"/>
    <w:rsid w:val="7C8D4919"/>
    <w:rsid w:val="7D053F7D"/>
    <w:rsid w:val="7D7A5F86"/>
    <w:rsid w:val="7E4B683A"/>
    <w:rsid w:val="7E5E656D"/>
    <w:rsid w:val="7E8F2BCB"/>
    <w:rsid w:val="7F37BB4E"/>
    <w:rsid w:val="7F7932A5"/>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21"/>
    <w:basedOn w:val="15"/>
    <w:qFormat/>
    <w:uiPriority w:val="0"/>
    <w:rPr>
      <w:rFonts w:hint="eastAsia" w:ascii="仿宋_GB2312" w:eastAsia="仿宋_GB2312" w:cs="仿宋_GB2312"/>
      <w:b/>
      <w:bCs/>
      <w:color w:val="000000"/>
      <w:sz w:val="22"/>
      <w:szCs w:val="22"/>
      <w:u w:val="none"/>
    </w:rPr>
  </w:style>
  <w:style w:type="character" w:customStyle="1" w:styleId="25">
    <w:name w:val="font71"/>
    <w:basedOn w:val="15"/>
    <w:qFormat/>
    <w:uiPriority w:val="0"/>
    <w:rPr>
      <w:rFonts w:hint="default" w:ascii="Times New Roman" w:hAnsi="Times New Roman" w:cs="Times New Roman"/>
      <w:b/>
      <w:bCs/>
      <w:color w:val="000000"/>
      <w:sz w:val="22"/>
      <w:szCs w:val="22"/>
      <w:u w:val="none"/>
    </w:rPr>
  </w:style>
  <w:style w:type="character" w:customStyle="1" w:styleId="26">
    <w:name w:val="font81"/>
    <w:basedOn w:val="15"/>
    <w:qFormat/>
    <w:uiPriority w:val="0"/>
    <w:rPr>
      <w:rFonts w:hint="default" w:ascii="Times New Roman" w:hAnsi="Times New Roman" w:cs="Times New Roman"/>
      <w:color w:val="000000"/>
      <w:sz w:val="24"/>
      <w:szCs w:val="24"/>
      <w:u w:val="none"/>
    </w:rPr>
  </w:style>
  <w:style w:type="character" w:customStyle="1" w:styleId="27">
    <w:name w:val="font31"/>
    <w:basedOn w:val="15"/>
    <w:qFormat/>
    <w:uiPriority w:val="0"/>
    <w:rPr>
      <w:rFonts w:hint="eastAsia" w:ascii="仿宋_GB2312" w:eastAsia="仿宋_GB2312" w:cs="仿宋_GB2312"/>
      <w:b/>
      <w:bCs/>
      <w:color w:val="000000"/>
      <w:sz w:val="22"/>
      <w:szCs w:val="22"/>
      <w:u w:val="none"/>
    </w:rPr>
  </w:style>
  <w:style w:type="character" w:customStyle="1" w:styleId="28">
    <w:name w:val="font91"/>
    <w:basedOn w:val="15"/>
    <w:qFormat/>
    <w:uiPriority w:val="0"/>
    <w:rPr>
      <w:rFonts w:hint="default" w:ascii="Times New Roman" w:hAnsi="Times New Roman" w:cs="Times New Roman"/>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2211</Words>
  <Characters>2278</Characters>
  <Lines>58</Lines>
  <Paragraphs>16</Paragraphs>
  <TotalTime>35</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2025-07-21T05:05:56Z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eyJoZGlkIjoiNmE4MWJkM2I0ZGY2OGRlNTI4YWRmNzkyM2RmMDkxMzcifQ==</vt:lpwstr>
  </property>
</Properties>
</file>